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C35E" w14:textId="77777777" w:rsidR="00C620B1" w:rsidRPr="00896D62" w:rsidRDefault="00C620B1" w:rsidP="00C620B1">
      <w:pPr>
        <w:spacing w:after="200" w:line="276" w:lineRule="auto"/>
        <w:rPr>
          <w:rFonts w:ascii="Cambria" w:eastAsia="Calibri" w:hAnsi="Cambria" w:cs="Calibri"/>
          <w:kern w:val="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ligatures w14:val="none"/>
        </w:rPr>
      </w:pPr>
      <w:r w:rsidRPr="00896D62">
        <w:rPr>
          <w:rFonts w:ascii="Cambria" w:eastAsia="Calibri" w:hAnsi="Cambria" w:cs="Calibri"/>
          <w:kern w:val="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ligatures w14:val="none"/>
        </w:rPr>
        <w:t>Kritéria přijímacího řízení pro školní rok 202</w:t>
      </w:r>
      <w:r>
        <w:rPr>
          <w:rFonts w:ascii="Cambria" w:eastAsia="Calibri" w:hAnsi="Cambria" w:cs="Calibri"/>
          <w:kern w:val="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ligatures w14:val="none"/>
        </w:rPr>
        <w:t>6</w:t>
      </w:r>
      <w:r w:rsidRPr="00896D62">
        <w:rPr>
          <w:rFonts w:ascii="Cambria" w:eastAsia="Calibri" w:hAnsi="Cambria" w:cs="Calibri"/>
          <w:kern w:val="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ligatures w14:val="none"/>
        </w:rPr>
        <w:t>/202</w:t>
      </w:r>
      <w:r>
        <w:rPr>
          <w:rFonts w:ascii="Cambria" w:eastAsia="Calibri" w:hAnsi="Cambria" w:cs="Calibri"/>
          <w:kern w:val="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ligatures w14:val="none"/>
        </w:rPr>
        <w:t>7</w:t>
      </w:r>
    </w:p>
    <w:p w14:paraId="5BD9BD9F" w14:textId="77777777" w:rsidR="00C620B1" w:rsidRPr="00896D62" w:rsidRDefault="00C620B1" w:rsidP="00C620B1">
      <w:pPr>
        <w:spacing w:after="200" w:line="276" w:lineRule="auto"/>
        <w:rPr>
          <w:rFonts w:ascii="Cambria" w:eastAsia="Calibri" w:hAnsi="Cambria" w:cs="Calibri"/>
          <w:kern w:val="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ligatures w14:val="none"/>
        </w:rPr>
      </w:pPr>
      <w:r w:rsidRPr="00896D62">
        <w:rPr>
          <w:rFonts w:ascii="Cambria" w:eastAsia="Calibri" w:hAnsi="Cambria" w:cs="Calibri"/>
          <w:kern w:val="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ligatures w14:val="none"/>
        </w:rPr>
        <w:t>Obor vzdělávání: Ošetřovatel 53–41–H/01 – denní forma</w:t>
      </w:r>
    </w:p>
    <w:p w14:paraId="4B4C59BF" w14:textId="77777777" w:rsidR="00C620B1" w:rsidRPr="00896D62" w:rsidRDefault="00C620B1" w:rsidP="00C620B1">
      <w:pPr>
        <w:spacing w:after="200" w:line="276" w:lineRule="auto"/>
        <w:contextualSpacing/>
        <w:jc w:val="both"/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 xml:space="preserve">Ředitelka školy v souladu se zákonem č. 561/2004 Sb., </w:t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 xml:space="preserve">o předškolním, základním, středním, vyšším odborném a jiném vzdělávání (Školský zákon), ve znění pozdějších předpisů a dále dle vyhlášky </w:t>
      </w:r>
    </w:p>
    <w:p w14:paraId="4B1BDE2F" w14:textId="77777777" w:rsidR="00C620B1" w:rsidRPr="00896D62" w:rsidRDefault="00C620B1" w:rsidP="00C620B1">
      <w:pPr>
        <w:spacing w:after="200" w:line="276" w:lineRule="auto"/>
        <w:contextualSpacing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 xml:space="preserve">č. 422/2023 Sb., o přijímacím řízení ke střednímu vzdělávání, stanovila následující kritéria přijetí do oboru vzdělání Ošetřovatel.  </w:t>
      </w:r>
    </w:p>
    <w:p w14:paraId="07279D33" w14:textId="77777777" w:rsidR="00C620B1" w:rsidRPr="00896D62" w:rsidRDefault="00C620B1" w:rsidP="00C620B1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 xml:space="preserve">Obor Ošetřovatel </w:t>
      </w:r>
      <w:r w:rsidRPr="00896D6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písemné</w:t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 xml:space="preserve"> zkoušky </w:t>
      </w:r>
      <w:r w:rsidRPr="00896D6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nevykonává.</w:t>
      </w:r>
    </w:p>
    <w:p w14:paraId="15C66521" w14:textId="77777777" w:rsidR="00C620B1" w:rsidRPr="00896D62" w:rsidRDefault="00C620B1" w:rsidP="00C620B1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7224DEB" w14:textId="77777777" w:rsidR="00C620B1" w:rsidRPr="00896D62" w:rsidRDefault="00C620B1" w:rsidP="00C620B1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>Maximální počet žáků přijatých do oboru Ošetřovatel</w:t>
      </w:r>
      <w:r w:rsidRPr="00896D6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: 2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</w:t>
      </w:r>
      <w:r w:rsidRPr="00896D6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uchazečů.</w:t>
      </w:r>
    </w:p>
    <w:p w14:paraId="7A1433A4" w14:textId="77777777" w:rsidR="00C620B1" w:rsidRPr="00896D62" w:rsidRDefault="00C620B1" w:rsidP="00C620B1">
      <w:pPr>
        <w:spacing w:after="200" w:line="276" w:lineRule="auto"/>
        <w:contextualSpacing/>
        <w:jc w:val="both"/>
        <w:rPr>
          <w:rFonts w:ascii="Calibri" w:eastAsia="Calibri" w:hAnsi="Calibri" w:cs="Times New Roman"/>
          <w:kern w:val="0"/>
          <w:sz w:val="24"/>
          <w:szCs w:val="24"/>
          <w:u w:val="single"/>
          <w14:ligatures w14:val="none"/>
        </w:rPr>
      </w:pPr>
    </w:p>
    <w:p w14:paraId="740E23C5" w14:textId="77777777" w:rsidR="00C620B1" w:rsidRDefault="00C620B1" w:rsidP="00C620B1">
      <w:pPr>
        <w:spacing w:after="200" w:line="276" w:lineRule="auto"/>
        <w:contextualSpacing/>
        <w:jc w:val="both"/>
        <w:rPr>
          <w:rFonts w:ascii="Calibri" w:eastAsia="Calibri" w:hAnsi="Calibri" w:cs="Times New Roman"/>
          <w:kern w:val="0"/>
          <w:sz w:val="24"/>
          <w:szCs w:val="24"/>
          <w:u w:val="single"/>
          <w14:ligatures w14:val="none"/>
        </w:rPr>
      </w:pPr>
      <w:r w:rsidRPr="00896D62">
        <w:rPr>
          <w:rFonts w:ascii="Calibri" w:eastAsia="Calibri" w:hAnsi="Calibri" w:cs="Times New Roman"/>
          <w:kern w:val="0"/>
          <w:sz w:val="24"/>
          <w:szCs w:val="24"/>
          <w:u w:val="single"/>
          <w14:ligatures w14:val="none"/>
        </w:rPr>
        <w:t xml:space="preserve">Podmínky přijetí: </w:t>
      </w:r>
    </w:p>
    <w:p w14:paraId="5D7F2CE2" w14:textId="77777777" w:rsidR="00C620B1" w:rsidRPr="00896D62" w:rsidRDefault="00C620B1" w:rsidP="00C620B1">
      <w:pPr>
        <w:spacing w:after="200" w:line="276" w:lineRule="auto"/>
        <w:contextualSpacing/>
        <w:jc w:val="both"/>
        <w:rPr>
          <w:rFonts w:ascii="Calibri" w:eastAsia="Calibri" w:hAnsi="Calibri" w:cs="Times New Roman"/>
          <w:kern w:val="0"/>
          <w:sz w:val="24"/>
          <w:szCs w:val="24"/>
          <w:u w:val="single"/>
          <w14:ligatures w14:val="none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7214"/>
        <w:gridCol w:w="1848"/>
      </w:tblGrid>
      <w:tr w:rsidR="00C620B1" w:rsidRPr="00896D62" w14:paraId="16965281" w14:textId="77777777" w:rsidTr="004D6B8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2E9BEBA" w14:textId="77777777" w:rsidR="00C620B1" w:rsidRPr="00896D62" w:rsidRDefault="00C620B1" w:rsidP="004D6B83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896D62">
              <w:rPr>
                <w:sz w:val="24"/>
                <w:szCs w:val="24"/>
              </w:rPr>
              <w:t>Průměrný prospěch ze základní školy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C46E39A" w14:textId="77777777" w:rsidR="00C620B1" w:rsidRPr="00D453E1" w:rsidRDefault="00C620B1" w:rsidP="004D6B83">
            <w:pPr>
              <w:jc w:val="right"/>
              <w:rPr>
                <w:b/>
                <w:bCs/>
                <w:sz w:val="24"/>
                <w:szCs w:val="24"/>
              </w:rPr>
            </w:pPr>
            <w:r w:rsidRPr="00D453E1">
              <w:rPr>
                <w:b/>
                <w:bCs/>
                <w:sz w:val="24"/>
                <w:szCs w:val="24"/>
              </w:rPr>
              <w:t>max. 200 bodů</w:t>
            </w:r>
          </w:p>
        </w:tc>
      </w:tr>
    </w:tbl>
    <w:p w14:paraId="1FE7E440" w14:textId="77777777" w:rsidR="00C620B1" w:rsidRPr="00896D62" w:rsidRDefault="00C620B1" w:rsidP="00C620B1">
      <w:pPr>
        <w:spacing w:after="200" w:line="276" w:lineRule="auto"/>
        <w:contextualSpacing/>
        <w:jc w:val="both"/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 xml:space="preserve"> Uchazeč získá body za prospěch, stanovené z aritmetického průměru vypočítaného ze známek na vysvědčení z 2. pololetí předposledního ročníku a 1. pololetí posledního ročníku základní školy, ve kterém uchazeč splnil nebo plní povinnou školní docházku, zaokrouhleného na 2 desetinná místa.</w:t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 xml:space="preserve"> Povinou přílohou přihlášky je vysvědčení.  </w:t>
      </w:r>
    </w:p>
    <w:p w14:paraId="1E2C265F" w14:textId="77777777" w:rsidR="00C620B1" w:rsidRPr="00896D62" w:rsidRDefault="00C620B1" w:rsidP="00C620B1">
      <w:pPr>
        <w:spacing w:after="200" w:line="276" w:lineRule="auto"/>
        <w:contextualSpacing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 xml:space="preserve">Za každou setinu se odečítá 1 bod, </w:t>
      </w:r>
      <w:r w:rsidRPr="00896D62">
        <w:rPr>
          <w:rFonts w:ascii="Calibri" w:eastAsia="Calibri" w:hAnsi="Calibri" w:cs="Calibri"/>
          <w:kern w:val="0"/>
          <w:sz w:val="22"/>
          <w:szCs w:val="22"/>
          <w14:ligatures w14:val="none"/>
        </w:rPr>
        <w:t>např. 1,01 =199 b., 1,02 = 198 b., 1,03 = 197 b., 1,04 = 196 b</w:t>
      </w:r>
      <w:r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 xml:space="preserve">. </w:t>
      </w: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>...</w:t>
      </w:r>
    </w:p>
    <w:tbl>
      <w:tblPr>
        <w:tblStyle w:val="Mkatabulky"/>
        <w:tblpPr w:leftFromText="141" w:rightFromText="141" w:vertAnchor="page" w:horzAnchor="page" w:tblpX="3331" w:tblpY="7996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266"/>
        <w:gridCol w:w="1536"/>
      </w:tblGrid>
      <w:tr w:rsidR="00C620B1" w:rsidRPr="00896D62" w14:paraId="40C119EA" w14:textId="77777777" w:rsidTr="004D6B83">
        <w:trPr>
          <w:trHeight w:val="372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1EC8CA0E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Průměr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17FC2FC3" w14:textId="77777777" w:rsidR="00C620B1" w:rsidRPr="00896D62" w:rsidRDefault="00C620B1" w:rsidP="004D6B83">
            <w:pPr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Body</w:t>
            </w:r>
          </w:p>
        </w:tc>
      </w:tr>
      <w:tr w:rsidR="00C620B1" w:rsidRPr="00896D62" w14:paraId="2FFFB82A" w14:textId="77777777" w:rsidTr="004D6B83">
        <w:trPr>
          <w:trHeight w:val="372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0A30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FA7A9" w14:textId="77777777" w:rsidR="00C620B1" w:rsidRPr="00896D62" w:rsidRDefault="00C620B1" w:rsidP="004D6B83">
            <w:pPr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200</w:t>
            </w:r>
          </w:p>
        </w:tc>
      </w:tr>
      <w:tr w:rsidR="00C620B1" w:rsidRPr="00896D62" w14:paraId="2CF93DFE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8FED3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1,10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96C8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190</w:t>
            </w:r>
          </w:p>
        </w:tc>
      </w:tr>
      <w:tr w:rsidR="00C620B1" w:rsidRPr="00896D62" w14:paraId="43019DDD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F820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1,20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AE3CA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180</w:t>
            </w:r>
          </w:p>
        </w:tc>
      </w:tr>
      <w:tr w:rsidR="00C620B1" w:rsidRPr="00896D62" w14:paraId="2FF4A766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20D30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1,30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0C57A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170</w:t>
            </w:r>
          </w:p>
        </w:tc>
      </w:tr>
      <w:tr w:rsidR="00C620B1" w:rsidRPr="00896D62" w14:paraId="02EA9392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B1DF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1,40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8C3A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160</w:t>
            </w:r>
          </w:p>
        </w:tc>
      </w:tr>
      <w:tr w:rsidR="00C620B1" w:rsidRPr="00896D62" w14:paraId="5F237FF7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FD4F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1,50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C586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150</w:t>
            </w:r>
          </w:p>
        </w:tc>
      </w:tr>
      <w:tr w:rsidR="00C620B1" w:rsidRPr="00896D62" w14:paraId="57E7827D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12236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1,60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A58A6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140</w:t>
            </w:r>
          </w:p>
        </w:tc>
      </w:tr>
      <w:tr w:rsidR="00C620B1" w:rsidRPr="00896D62" w14:paraId="6FC85D5C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5D95D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1,70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0AA77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130</w:t>
            </w:r>
          </w:p>
        </w:tc>
      </w:tr>
      <w:tr w:rsidR="00C620B1" w:rsidRPr="00896D62" w14:paraId="43DFFB92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9339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1,80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6D4D7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120</w:t>
            </w:r>
          </w:p>
        </w:tc>
      </w:tr>
      <w:tr w:rsidR="00C620B1" w:rsidRPr="00896D62" w14:paraId="23ACEA41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E41D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1,90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5EF60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110</w:t>
            </w:r>
          </w:p>
        </w:tc>
      </w:tr>
      <w:tr w:rsidR="00C620B1" w:rsidRPr="00896D62" w14:paraId="04466803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388CF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2,00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4498D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100</w:t>
            </w:r>
          </w:p>
        </w:tc>
      </w:tr>
      <w:tr w:rsidR="00C620B1" w:rsidRPr="00896D62" w14:paraId="2A19AAD4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10100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2,10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2288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90</w:t>
            </w:r>
          </w:p>
        </w:tc>
      </w:tr>
      <w:tr w:rsidR="00C620B1" w:rsidRPr="00896D62" w14:paraId="520D983A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3E50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2,20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5ED9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80</w:t>
            </w:r>
          </w:p>
        </w:tc>
      </w:tr>
      <w:tr w:rsidR="00C620B1" w:rsidRPr="00896D62" w14:paraId="46A8F808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CA66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2,30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2A963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70</w:t>
            </w:r>
          </w:p>
        </w:tc>
      </w:tr>
      <w:tr w:rsidR="00C620B1" w:rsidRPr="00896D62" w14:paraId="2B0D45C3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0262B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2,40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229A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60</w:t>
            </w:r>
          </w:p>
        </w:tc>
      </w:tr>
      <w:tr w:rsidR="00C620B1" w:rsidRPr="00896D62" w14:paraId="4B23350D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A1F2F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2,50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23A4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50</w:t>
            </w:r>
          </w:p>
        </w:tc>
      </w:tr>
      <w:tr w:rsidR="00C620B1" w:rsidRPr="00896D62" w14:paraId="26AF16B5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711D6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2,60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3F79D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40</w:t>
            </w:r>
          </w:p>
        </w:tc>
      </w:tr>
      <w:tr w:rsidR="00C620B1" w:rsidRPr="00896D62" w14:paraId="7B6E28FB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DAF9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2,70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B454A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30</w:t>
            </w:r>
          </w:p>
        </w:tc>
      </w:tr>
      <w:tr w:rsidR="00C620B1" w:rsidRPr="00896D62" w14:paraId="76A44039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2430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2,80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1AC9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20</w:t>
            </w:r>
          </w:p>
        </w:tc>
      </w:tr>
      <w:tr w:rsidR="00C620B1" w:rsidRPr="00896D62" w14:paraId="2997CE65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0B52F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2,90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83E5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10</w:t>
            </w:r>
          </w:p>
        </w:tc>
      </w:tr>
      <w:tr w:rsidR="00C620B1" w:rsidRPr="00896D62" w14:paraId="2281F737" w14:textId="77777777" w:rsidTr="004D6B83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5C93D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>3,00≤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60D1E" w14:textId="77777777" w:rsidR="00C620B1" w:rsidRPr="00896D62" w:rsidRDefault="00C620B1" w:rsidP="004D6B83">
            <w:pPr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t xml:space="preserve">  0</w:t>
            </w:r>
          </w:p>
        </w:tc>
      </w:tr>
    </w:tbl>
    <w:p w14:paraId="6EF5BF1C" w14:textId="77777777" w:rsidR="00C620B1" w:rsidRPr="00896D62" w:rsidRDefault="00C620B1" w:rsidP="00C620B1">
      <w:pPr>
        <w:spacing w:after="200" w:line="276" w:lineRule="auto"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b w:val="0"/>
          <w:kern w:val="0"/>
          <w:sz w:val="24"/>
          <w:szCs w:val="24"/>
          <w14:ligatures w14:val="none"/>
        </w:rPr>
        <w:t xml:space="preserve"> </w:t>
      </w:r>
      <w:r w:rsidRPr="00896D62">
        <w:rPr>
          <w:rFonts w:ascii="Calibri" w:eastAsia="Calibri" w:hAnsi="Calibri" w:cs="Calibri"/>
          <w:b w:val="0"/>
          <w:kern w:val="0"/>
          <w:sz w:val="24"/>
          <w:szCs w:val="24"/>
          <w14:ligatures w14:val="none"/>
        </w:rPr>
        <w:br w:type="page"/>
      </w:r>
    </w:p>
    <w:tbl>
      <w:tblPr>
        <w:tblStyle w:val="Mkatabulky"/>
        <w:tblW w:w="0" w:type="auto"/>
        <w:tblInd w:w="-34" w:type="dxa"/>
        <w:tblLook w:val="04A0" w:firstRow="1" w:lastRow="0" w:firstColumn="1" w:lastColumn="0" w:noHBand="0" w:noVBand="1"/>
      </w:tblPr>
      <w:tblGrid>
        <w:gridCol w:w="9096"/>
      </w:tblGrid>
      <w:tr w:rsidR="00C620B1" w:rsidRPr="00896D62" w14:paraId="0BD35497" w14:textId="77777777" w:rsidTr="004D6B83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4B195F9" w14:textId="77777777" w:rsidR="00C620B1" w:rsidRPr="00896D62" w:rsidRDefault="00C620B1" w:rsidP="004D6B83">
            <w:pPr>
              <w:numPr>
                <w:ilvl w:val="0"/>
                <w:numId w:val="1"/>
              </w:numPr>
              <w:contextualSpacing/>
              <w:rPr>
                <w:rFonts w:cs="Calibri"/>
                <w:sz w:val="24"/>
                <w:szCs w:val="24"/>
              </w:rPr>
            </w:pPr>
            <w:r w:rsidRPr="00896D62">
              <w:rPr>
                <w:rFonts w:cs="Calibri"/>
                <w:sz w:val="24"/>
                <w:szCs w:val="24"/>
              </w:rPr>
              <w:lastRenderedPageBreak/>
              <w:t>Zdravotní způsobilost</w:t>
            </w:r>
          </w:p>
        </w:tc>
      </w:tr>
    </w:tbl>
    <w:p w14:paraId="312111FD" w14:textId="77777777" w:rsidR="00C620B1" w:rsidRPr="00896D62" w:rsidRDefault="00C620B1" w:rsidP="00C620B1">
      <w:pPr>
        <w:spacing w:after="0" w:line="240" w:lineRule="auto"/>
        <w:jc w:val="both"/>
        <w:rPr>
          <w:rFonts w:ascii="Calibri" w:eastAsia="Calibri" w:hAnsi="Calibri" w:cs="Calibri"/>
          <w:color w:val="FF000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color w:val="FF0000"/>
          <w:kern w:val="0"/>
          <w:sz w:val="22"/>
          <w:szCs w:val="22"/>
          <w14:ligatures w14:val="none"/>
        </w:rPr>
        <w:t xml:space="preserve">Podmínkou přijetí do oboru Ošetřovatel je posudek o zdravotní způsobilosti. Potvrzení o zdravotní způsobilosti musí být na speciálním tiskopisu, který je na webových stránkách v sekci přijímací řízení. Nestačí potvrzení na přihlášce. </w:t>
      </w:r>
    </w:p>
    <w:p w14:paraId="5CBBED3A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Onemocnění nebo zdravotní obtíže pro účely stanovení podmínek zdravotní způsobilosti uchazeče ke vzdělávání dle Nařízení vlády 211/2010 Sb. ze dne 31. května 2010 o soustavě oborů vzdělání</w:t>
      </w:r>
    </w:p>
    <w:p w14:paraId="3088AD80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 xml:space="preserve">v základním, středním a vyšším odborném vzdělávání v platném znění (viz příloha č. 2 NV). </w:t>
      </w:r>
    </w:p>
    <w:p w14:paraId="0674E2C4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Zdravotní omezení podle přílohy č. 2 k tomuto nařízení vlády:</w:t>
      </w:r>
    </w:p>
    <w:p w14:paraId="4D2C35D2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1. Prognosticky závažná onemocnění podpůrného a pohybového aparátu znemožňující zátěž páteře</w:t>
      </w:r>
    </w:p>
    <w:p w14:paraId="3419911B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v případě, že je nezbytné postupovat podle § 67 odst. 2 věta druhá školského zákona.</w:t>
      </w:r>
    </w:p>
    <w:p w14:paraId="53E08E27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4. Prognosticky závažná onemocnění omezující funkce horních nebo dolních končetin (poruchy hrubé i jemné motoriky) v případě, že je nezbytné postupovat podle § 67 odst. 2 věta druhá školského zákona.</w:t>
      </w:r>
    </w:p>
    <w:p w14:paraId="68BA43BC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7. Prognosticky závažná chronická onemocnění kůže a spojivek včetně onemocnění alergických, pokud</w:t>
      </w:r>
    </w:p>
    <w:p w14:paraId="4CC56DC5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a) při praktickém vyučování nelze vyloučit silné znečištění kůže nebo kontakt s alergizujícími látkami.</w:t>
      </w:r>
    </w:p>
    <w:p w14:paraId="4D10FCAD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8. Prognosticky závažná chronická onemocnění dýchacích cest a plic vč. onemocnění alergických, pokud</w:t>
      </w:r>
    </w:p>
    <w:p w14:paraId="1FBA5815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a) nelze při praktickém vyučování vyloučit dráždivé a alergizující látky, činnosti ve vysoce prašném</w:t>
      </w:r>
    </w:p>
    <w:p w14:paraId="4AD1F24C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prostředí.</w:t>
      </w:r>
    </w:p>
    <w:p w14:paraId="73493130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9. Přecitlivělost na:</w:t>
      </w:r>
    </w:p>
    <w:p w14:paraId="59F0E7A3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a) alergizující látky používané při praktickém vyučování.</w:t>
      </w:r>
    </w:p>
    <w:p w14:paraId="09F332F5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11. Prognosticky závažné nemoci srdce a oběhové soustavy vylučující středně velkou zátěž v případě, že je nezbytné postupovat podle § 67 odst. 2 věta druhá školského zákona.</w:t>
      </w:r>
    </w:p>
    <w:p w14:paraId="51F69335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16. Prognosticky závažné poruchy mechanismu imunity.</w:t>
      </w:r>
    </w:p>
    <w:p w14:paraId="7B7A268D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21. Prognosticky závažné nemoci oka znemožňující zvýšenou fyzickou zátěž a manipulaci s břemeny</w:t>
      </w:r>
    </w:p>
    <w:p w14:paraId="1825E84F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v případě, že je nezbytné postupovat podle § 67 odst. 2 věta druhá školského zákona.</w:t>
      </w:r>
    </w:p>
    <w:p w14:paraId="014DE68F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bCs/>
          <w:kern w:val="0"/>
          <w:sz w:val="22"/>
          <w:szCs w:val="22"/>
          <w14:ligatures w14:val="none"/>
        </w:rPr>
        <w:t>23. Závažné duševní nemoci a poruchy chování.</w:t>
      </w:r>
    </w:p>
    <w:p w14:paraId="2492B6D8" w14:textId="77777777" w:rsidR="00C620B1" w:rsidRPr="00896D62" w:rsidRDefault="00C620B1" w:rsidP="00C620B1">
      <w:pPr>
        <w:spacing w:after="0" w:line="240" w:lineRule="auto"/>
        <w:jc w:val="both"/>
        <w:rPr>
          <w:rFonts w:ascii="Calibri" w:eastAsia="Calibri" w:hAnsi="Calibri" w:cs="Calibri"/>
          <w:color w:val="FF0000"/>
          <w:kern w:val="0"/>
          <w:sz w:val="22"/>
          <w:szCs w:val="22"/>
          <w14:ligatures w14:val="none"/>
        </w:rPr>
      </w:pPr>
    </w:p>
    <w:p w14:paraId="2B7D4D78" w14:textId="77777777" w:rsidR="00C620B1" w:rsidRPr="00896D62" w:rsidRDefault="00C620B1" w:rsidP="00C620B1">
      <w:pPr>
        <w:spacing w:after="200" w:line="276" w:lineRule="auto"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kern w:val="0"/>
          <w:sz w:val="22"/>
          <w:szCs w:val="22"/>
          <w14:ligatures w14:val="none"/>
        </w:rPr>
        <w:t>O přijetí rozhodne</w:t>
      </w: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 xml:space="preserve"> pořadí uchazeče dané dosaženým počtem bodů a počtem přijímaných žáků. Při shodě výsledků více uchazečů na posledním přijímaném místě se posuzuje:</w:t>
      </w:r>
    </w:p>
    <w:p w14:paraId="0111C123" w14:textId="77777777" w:rsidR="00C620B1" w:rsidRPr="00896D62" w:rsidRDefault="00C620B1" w:rsidP="00C620B1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>průměrný prospěch ze ZŠ</w:t>
      </w:r>
    </w:p>
    <w:p w14:paraId="212B10F4" w14:textId="77777777" w:rsidR="00C620B1" w:rsidRPr="00896D62" w:rsidRDefault="00C620B1" w:rsidP="00C620B1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>průměrný prospěch vybraných předmětů v pořadí:</w:t>
      </w:r>
    </w:p>
    <w:p w14:paraId="0C362970" w14:textId="77777777" w:rsidR="00C620B1" w:rsidRPr="00896D62" w:rsidRDefault="00C620B1" w:rsidP="00C620B1">
      <w:pPr>
        <w:spacing w:after="200" w:line="276" w:lineRule="auto"/>
        <w:ind w:left="720"/>
        <w:contextualSpacing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 xml:space="preserve">z českého jazyka, matematiky a cizího jazyka </w:t>
      </w:r>
    </w:p>
    <w:p w14:paraId="14E06B48" w14:textId="77777777" w:rsidR="00C620B1" w:rsidRPr="00896D62" w:rsidRDefault="00C620B1" w:rsidP="00C620B1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>průměrný prospěch vybraných předmětů v pořadí:</w:t>
      </w:r>
    </w:p>
    <w:p w14:paraId="0080687A" w14:textId="77777777" w:rsidR="00C620B1" w:rsidRPr="00896D62" w:rsidRDefault="00C620B1" w:rsidP="00C620B1">
      <w:pPr>
        <w:spacing w:after="200" w:line="276" w:lineRule="auto"/>
        <w:ind w:left="720"/>
        <w:contextualSpacing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>z biologie (přírodopis), chemie, fyziky (průměr)</w:t>
      </w:r>
    </w:p>
    <w:p w14:paraId="5934B017" w14:textId="77777777" w:rsidR="00C620B1" w:rsidRDefault="00C620B1" w:rsidP="00C620B1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>preference daného oboru vzdělání dle pořadí v</w:t>
      </w:r>
      <w:r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> </w:t>
      </w: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>přihlášce</w:t>
      </w:r>
    </w:p>
    <w:p w14:paraId="5CA1D578" w14:textId="77777777" w:rsidR="00C620B1" w:rsidRDefault="00C620B1" w:rsidP="00C620B1">
      <w:pPr>
        <w:spacing w:after="0" w:line="276" w:lineRule="auto"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</w:p>
    <w:p w14:paraId="2B343B7F" w14:textId="77777777" w:rsidR="00C620B1" w:rsidRDefault="00C620B1" w:rsidP="00C620B1">
      <w:pPr>
        <w:spacing w:after="0" w:line="276" w:lineRule="auto"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>Uchazeči s přiznanými podpůrnými opatřeními doloží k přihlášce doporučení poradenského zařízení.</w:t>
      </w:r>
    </w:p>
    <w:p w14:paraId="0DDB3601" w14:textId="77777777" w:rsidR="00C620B1" w:rsidRDefault="00C620B1" w:rsidP="00C620B1">
      <w:pPr>
        <w:spacing w:after="0" w:line="276" w:lineRule="auto"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</w:p>
    <w:p w14:paraId="2DB3870D" w14:textId="77777777" w:rsidR="00C620B1" w:rsidRPr="00A93ADF" w:rsidRDefault="00C620B1" w:rsidP="00C620B1">
      <w:pPr>
        <w:spacing w:after="0" w:line="276" w:lineRule="auto"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A93ADF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 xml:space="preserve">Dnem doručení přihlášky je zahájeno správní řízení na žádost, dále bude ředitelka školy postupovat </w:t>
      </w:r>
      <w:r w:rsidRPr="00A93AD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dle zákona č. 500/2004 Sb., správní řád</w:t>
      </w:r>
      <w:r w:rsidRPr="00A93ADF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 xml:space="preserve">, v platném znění. </w:t>
      </w:r>
    </w:p>
    <w:p w14:paraId="6CBCD90D" w14:textId="09944415" w:rsidR="00C620B1" w:rsidRPr="00A93ADF" w:rsidRDefault="00C620B1" w:rsidP="00C620B1">
      <w:pPr>
        <w:spacing w:after="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  <w:r w:rsidRPr="00A93AD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Možnost vyjádřit se k podkladům rozhodnutí – k vyhlášení </w:t>
      </w:r>
      <w:r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2</w:t>
      </w:r>
      <w:r w:rsidRPr="00A93AD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. kola </w:t>
      </w:r>
    </w:p>
    <w:p w14:paraId="23DFCBAC" w14:textId="1C8BE68A" w:rsidR="00C620B1" w:rsidRPr="00A93ADF" w:rsidRDefault="00C620B1" w:rsidP="00C620B1">
      <w:pPr>
        <w:spacing w:after="0" w:line="276" w:lineRule="auto"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A93ADF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 xml:space="preserve">V průběhu přijímacího řízení se umožňuje uchazeči nebo zákonnému zástupci nezletilého uchazeče nahlížet do spisu. Škola stanovila, že k podkladům pro vydání rozhodnutí je možné vyjádřit se (a nahlížet do spisu) </w:t>
      </w:r>
      <w:r w:rsidRPr="00C620B1">
        <w:rPr>
          <w:rFonts w:ascii="Calibri" w:eastAsia="Calibri" w:hAnsi="Calibri" w:cs="Calibri"/>
          <w:b w:val="0"/>
          <w:kern w:val="0"/>
          <w:sz w:val="22"/>
          <w:szCs w:val="22"/>
          <w:shd w:val="clear" w:color="auto" w:fill="FFC000"/>
          <w14:ligatures w14:val="none"/>
        </w:rPr>
        <w:t xml:space="preserve">dne </w:t>
      </w:r>
      <w:r>
        <w:rPr>
          <w:rFonts w:ascii="Calibri" w:eastAsia="Calibri" w:hAnsi="Calibri" w:cs="Calibri"/>
          <w:b w:val="0"/>
          <w:kern w:val="0"/>
          <w:sz w:val="22"/>
          <w:szCs w:val="22"/>
          <w:shd w:val="clear" w:color="auto" w:fill="FFC000"/>
          <w14:ligatures w14:val="none"/>
        </w:rPr>
        <w:t>12. června</w:t>
      </w:r>
      <w:r w:rsidRPr="00C620B1">
        <w:rPr>
          <w:rFonts w:ascii="Calibri" w:eastAsia="Calibri" w:hAnsi="Calibri" w:cs="Calibri"/>
          <w:b w:val="0"/>
          <w:kern w:val="0"/>
          <w:sz w:val="22"/>
          <w:szCs w:val="22"/>
          <w:shd w:val="clear" w:color="auto" w:fill="FFC000"/>
          <w14:ligatures w14:val="none"/>
        </w:rPr>
        <w:t xml:space="preserve"> 2026 od 8:00 do 12:00.</w:t>
      </w:r>
      <w:r w:rsidRPr="00A93ADF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 xml:space="preserve"> </w:t>
      </w:r>
    </w:p>
    <w:p w14:paraId="5B955A60" w14:textId="77777777" w:rsidR="00C620B1" w:rsidRDefault="00C620B1" w:rsidP="00C620B1">
      <w:pPr>
        <w:spacing w:after="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</w:p>
    <w:p w14:paraId="0BB90D5D" w14:textId="77777777" w:rsidR="00C620B1" w:rsidRPr="00A93ADF" w:rsidRDefault="00C620B1" w:rsidP="00C620B1">
      <w:pPr>
        <w:spacing w:after="0" w:line="276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</w:pPr>
      <w:r w:rsidRPr="00A93ADF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lastRenderedPageBreak/>
        <w:t xml:space="preserve">Oznámení rozhodnutí </w:t>
      </w:r>
    </w:p>
    <w:p w14:paraId="55425F42" w14:textId="4E877706" w:rsidR="00C620B1" w:rsidRPr="00A93ADF" w:rsidRDefault="00C620B1" w:rsidP="00C620B1">
      <w:pPr>
        <w:spacing w:after="0" w:line="276" w:lineRule="auto"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  <w:r w:rsidRPr="00A93ADF"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  <w:t xml:space="preserve">Rozhodnutí o přijetí nebo nepřijetí ke vzdělávání se oznamují zveřejněním seznamu uchazečů pod přiděleným registračním číslem s výsledkem řízení u každého uchazeče, a to </w:t>
      </w:r>
      <w:r>
        <w:rPr>
          <w:rFonts w:ascii="Calibri" w:eastAsia="Calibri" w:hAnsi="Calibri" w:cs="Calibri"/>
          <w:b w:val="0"/>
          <w:kern w:val="0"/>
          <w:sz w:val="22"/>
          <w:szCs w:val="22"/>
          <w:shd w:val="clear" w:color="auto" w:fill="FFC000"/>
          <w14:ligatures w14:val="none"/>
        </w:rPr>
        <w:t>23. června</w:t>
      </w:r>
      <w:r w:rsidRPr="00C620B1">
        <w:rPr>
          <w:rFonts w:ascii="Calibri" w:eastAsia="Calibri" w:hAnsi="Calibri" w:cs="Calibri"/>
          <w:b w:val="0"/>
          <w:kern w:val="0"/>
          <w:sz w:val="22"/>
          <w:szCs w:val="22"/>
          <w:shd w:val="clear" w:color="auto" w:fill="FFC000"/>
          <w14:ligatures w14:val="none"/>
        </w:rPr>
        <w:t xml:space="preserve"> 2026.</w:t>
      </w:r>
    </w:p>
    <w:p w14:paraId="6E4D42D6" w14:textId="77777777" w:rsidR="00C620B1" w:rsidRPr="00896D62" w:rsidRDefault="00C620B1" w:rsidP="00C620B1">
      <w:pPr>
        <w:spacing w:after="0" w:line="276" w:lineRule="auto"/>
        <w:jc w:val="both"/>
        <w:rPr>
          <w:rFonts w:ascii="Calibri" w:eastAsia="Calibri" w:hAnsi="Calibri" w:cs="Calibri"/>
          <w:b w:val="0"/>
          <w:kern w:val="0"/>
          <w:sz w:val="22"/>
          <w:szCs w:val="22"/>
          <w14:ligatures w14:val="none"/>
        </w:rPr>
      </w:pPr>
    </w:p>
    <w:p w14:paraId="250A001C" w14:textId="77777777" w:rsidR="00C620B1" w:rsidRPr="00896D62" w:rsidRDefault="00C620B1" w:rsidP="00C620B1">
      <w:pPr>
        <w:spacing w:after="0" w:line="276" w:lineRule="auto"/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</w:pPr>
    </w:p>
    <w:p w14:paraId="0BB2E919" w14:textId="77777777" w:rsidR="00C620B1" w:rsidRDefault="00C620B1" w:rsidP="00C620B1">
      <w:pPr>
        <w:spacing w:after="0" w:line="276" w:lineRule="auto"/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</w:pPr>
    </w:p>
    <w:p w14:paraId="69A51D06" w14:textId="77777777" w:rsidR="00C620B1" w:rsidRDefault="00C620B1" w:rsidP="00C620B1">
      <w:pPr>
        <w:spacing w:after="0" w:line="276" w:lineRule="auto"/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</w:pPr>
    </w:p>
    <w:p w14:paraId="7E57712D" w14:textId="77777777" w:rsidR="00C620B1" w:rsidRDefault="00C620B1" w:rsidP="00C620B1">
      <w:pPr>
        <w:spacing w:after="0" w:line="276" w:lineRule="auto"/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</w:pPr>
    </w:p>
    <w:p w14:paraId="3C6A904A" w14:textId="77777777" w:rsidR="00C620B1" w:rsidRDefault="00C620B1" w:rsidP="00C620B1">
      <w:pPr>
        <w:spacing w:after="0" w:line="276" w:lineRule="auto"/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</w:pPr>
    </w:p>
    <w:p w14:paraId="5F2E3AA7" w14:textId="77777777" w:rsidR="00C620B1" w:rsidRDefault="00C620B1" w:rsidP="00C620B1">
      <w:pPr>
        <w:spacing w:after="0" w:line="276" w:lineRule="auto"/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</w:pPr>
    </w:p>
    <w:p w14:paraId="0B8CF55C" w14:textId="767C8CB3" w:rsidR="00C620B1" w:rsidRPr="00896D62" w:rsidRDefault="00C620B1" w:rsidP="00C620B1">
      <w:pPr>
        <w:spacing w:after="0" w:line="276" w:lineRule="auto"/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</w:pP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 xml:space="preserve">V Karviné </w:t>
      </w:r>
      <w:r w:rsidR="00CA2547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>15. května</w:t>
      </w:r>
      <w:r w:rsidRPr="00D453E1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 xml:space="preserve"> 2026</w:t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 xml:space="preserve">         </w:t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ab/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ab/>
        <w:t xml:space="preserve">                </w:t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ab/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ab/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ab/>
        <w:t>Mgr. Jana Brych</w:t>
      </w:r>
    </w:p>
    <w:p w14:paraId="39AD71FC" w14:textId="77777777" w:rsidR="00C620B1" w:rsidRDefault="00C620B1" w:rsidP="00C620B1">
      <w:pPr>
        <w:spacing w:after="0" w:line="276" w:lineRule="auto"/>
      </w:pP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 xml:space="preserve">                                                       </w:t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ab/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ab/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ab/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ab/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ab/>
      </w:r>
      <w:r w:rsidRPr="00896D62">
        <w:rPr>
          <w:rFonts w:ascii="Calibri" w:eastAsia="Calibri" w:hAnsi="Calibri" w:cs="Times New Roman"/>
          <w:b w:val="0"/>
          <w:kern w:val="0"/>
          <w:sz w:val="22"/>
          <w:szCs w:val="22"/>
          <w14:ligatures w14:val="none"/>
        </w:rPr>
        <w:tab/>
        <w:t xml:space="preserve"> ředitelka školy </w:t>
      </w:r>
    </w:p>
    <w:p w14:paraId="305FB6BE" w14:textId="77777777" w:rsidR="001C11CF" w:rsidRDefault="001C11CF"/>
    <w:sectPr w:rsidR="001C11CF" w:rsidSect="00C620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E0FEE"/>
    <w:multiLevelType w:val="hybridMultilevel"/>
    <w:tmpl w:val="6BE00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84952"/>
    <w:multiLevelType w:val="hybridMultilevel"/>
    <w:tmpl w:val="15B044B2"/>
    <w:lvl w:ilvl="0" w:tplc="7AD4BB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D16FB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07990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413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603"/>
    <w:rsid w:val="00020B5E"/>
    <w:rsid w:val="001C11CF"/>
    <w:rsid w:val="001D00F0"/>
    <w:rsid w:val="00613706"/>
    <w:rsid w:val="00632388"/>
    <w:rsid w:val="007063BE"/>
    <w:rsid w:val="00A756F6"/>
    <w:rsid w:val="00B353DE"/>
    <w:rsid w:val="00C620B1"/>
    <w:rsid w:val="00CA2547"/>
    <w:rsid w:val="00CB212A"/>
    <w:rsid w:val="00F1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A4000"/>
  <w15:chartTrackingRefBased/>
  <w15:docId w15:val="{7675A853-FC1A-461C-AA13-9945D8846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b/>
        <w:kern w:val="2"/>
        <w:sz w:val="28"/>
        <w:szCs w:val="28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20B1"/>
  </w:style>
  <w:style w:type="paragraph" w:styleId="Nadpis1">
    <w:name w:val="heading 1"/>
    <w:basedOn w:val="Normln"/>
    <w:next w:val="Normln"/>
    <w:link w:val="Nadpis1Char"/>
    <w:uiPriority w:val="9"/>
    <w:qFormat/>
    <w:rsid w:val="00F10603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10603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106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106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106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106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106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106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106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10603"/>
    <w:rPr>
      <w:rFonts w:eastAsiaTheme="majorEastAsia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1060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106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106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106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106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106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106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1060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10603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0603"/>
    <w:rPr>
      <w:rFonts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06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F10603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Citt">
    <w:name w:val="Quote"/>
    <w:basedOn w:val="Normln"/>
    <w:next w:val="Normln"/>
    <w:link w:val="CittChar"/>
    <w:uiPriority w:val="29"/>
    <w:qFormat/>
    <w:rsid w:val="00F10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1060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1060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1060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10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1060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10603"/>
    <w:rPr>
      <w:b w:val="0"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C620B1"/>
    <w:pPr>
      <w:spacing w:after="0" w:line="240" w:lineRule="auto"/>
    </w:pPr>
    <w:rPr>
      <w:rFonts w:ascii="Calibri" w:eastAsia="Calibri" w:hAnsi="Calibri" w:cs="Times New Roman"/>
      <w:b w:val="0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662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 Brych</dc:creator>
  <cp:keywords/>
  <dc:description/>
  <cp:lastModifiedBy>Jana  Brych</cp:lastModifiedBy>
  <cp:revision>4</cp:revision>
  <cp:lastPrinted>2026-05-15T06:46:00Z</cp:lastPrinted>
  <dcterms:created xsi:type="dcterms:W3CDTF">2026-05-14T08:37:00Z</dcterms:created>
  <dcterms:modified xsi:type="dcterms:W3CDTF">2026-05-15T06:46:00Z</dcterms:modified>
</cp:coreProperties>
</file>